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KNJIŽNIČARKA: Marija Bratonja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Ekonomska škola Vukovar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S.Filipovića 6, Vukovar</w:t>
      </w:r>
    </w:p>
    <w:p>
      <w:pPr>
        <w:pStyle w:val="Normal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 xml:space="preserve">PISANA PRIPRAVA ZA IZVEDBU NASTAVNOG SATA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>GOVOR MRŽNJE NA INTERNETU</w:t>
      </w:r>
    </w:p>
    <w:p>
      <w:pPr>
        <w:pStyle w:val="Normal"/>
        <w:spacing w:lineRule="auto" w:line="276"/>
        <w:jc w:val="center"/>
        <w:rPr>
          <w:rFonts w:ascii="Engravers MT" w:hAnsi="Engravers MT"/>
          <w:color w:val="000000"/>
          <w:sz w:val="40"/>
          <w:szCs w:val="40"/>
        </w:rPr>
      </w:pPr>
      <w:r>
        <w:rPr>
          <w:rFonts w:ascii="Engravers MT" w:hAnsi="Engravers MT"/>
          <w:color w:val="000000"/>
          <w:sz w:val="40"/>
          <w:szCs w:val="40"/>
        </w:rPr>
      </w:r>
    </w:p>
    <w:p>
      <w:pPr>
        <w:pStyle w:val="Normal"/>
        <w:spacing w:lineRule="auto" w:line="27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PRIPRAVA ZA NASTAVNI SAT U ŠKOLSKOJ KNJIŽNICI</w:t>
      </w:r>
    </w:p>
    <w:p>
      <w:pPr>
        <w:pStyle w:val="Normal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ŠKOLA:  Ekonomska škola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MJESTO IZVOĐENJA: knjižnica Ekonomske škole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NADNEVAK: 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UZRAST: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2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.razredi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KNJIŽNIČARKA: Marija Bratonja</w:t>
      </w:r>
    </w:p>
    <w:p>
      <w:pPr>
        <w:pStyle w:val="Normal"/>
        <w:rPr>
          <w:sz w:val="28"/>
          <w:szCs w:val="28"/>
          <w:u w:val="thick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  <w:u w:val="thick"/>
        </w:rPr>
      </w:pPr>
      <w:r>
        <w:rPr>
          <w:color w:val="000000"/>
          <w:sz w:val="28"/>
          <w:szCs w:val="28"/>
          <w:u w:val="thick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NASTAVNO PODRUČJE: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Program knjižnično – informacijskog odgoja i obrazovanja,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Medijska kultura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JEDINICA: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Govor mržnje na internetu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MEĐUPREDMETNA KORELACIJA: hrvatski jezik, </w:t>
      </w:r>
      <w:r>
        <w:rPr>
          <w:rFonts w:cs="Calibri" w:ascii="Calibri" w:hAnsi="Calibri" w:asciiTheme="minorHAnsi" w:cstheme="minorHAnsi" w:hAnsiTheme="minorHAnsi"/>
          <w:color w:val="000000"/>
        </w:rPr>
        <w:t>informatika,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 </w:t>
      </w:r>
      <w:r>
        <w:rPr>
          <w:rFonts w:cs="Calibri" w:ascii="Calibri" w:hAnsi="Calibri" w:asciiTheme="minorHAnsi" w:cstheme="minorHAnsi" w:hAnsiTheme="minorHAnsi"/>
          <w:color w:val="000000"/>
        </w:rPr>
        <w:t>pravo, etika, sro</w:t>
      </w:r>
      <w:r>
        <w:rPr>
          <w:rFonts w:cs="Calibri" w:ascii="Calibri" w:hAnsi="Calibri" w:asciiTheme="minorHAnsi" w:cstheme="minorHAnsi" w:hAnsiTheme="minorHAnsi"/>
          <w:color w:val="000000"/>
        </w:rPr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SREDSTVA: </w:t>
      </w:r>
      <w:r>
        <w:rPr>
          <w:rFonts w:cs="Calibri" w:ascii="Calibri" w:hAnsi="Calibri" w:asciiTheme="minorHAnsi" w:cstheme="minorHAnsi" w:hAnsiTheme="minorHAnsi"/>
          <w:color w:val="000000"/>
        </w:rPr>
        <w:t>Genial.ly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prezentacija, online sadržaj, </w:t>
      </w:r>
      <w:r>
        <w:rPr>
          <w:rFonts w:cs="Calibri" w:ascii="Calibri" w:hAnsi="Calibri" w:asciiTheme="minorHAnsi" w:cstheme="minorHAnsi" w:hAnsiTheme="minorHAnsi"/>
          <w:color w:val="000000"/>
        </w:rPr>
        <w:t>film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NASTAVNA POMAGALA: računala u školskoj knjižnici, tableti, mobiteli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NASTAVNE METODE: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1. VERBALNE:</w:t>
        <w:tab/>
        <w:tab/>
        <w:tab/>
        <w:tab/>
        <w:tab/>
        <w:t>2. VIZUALNE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a) metoda usmenog izlaganja, </w:t>
        <w:tab/>
        <w:tab/>
        <w:t>a) metoda pokazivanja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b) razgovora, </w:t>
        <w:tab/>
        <w:tab/>
        <w:tab/>
        <w:tab/>
        <w:t>b) metoda pisanja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 xml:space="preserve">c) metoda samostalnog praktičnog 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NASTAVNI OBLICI:  frontalni rad, rad u paru, samostalni rad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TIP NASTAVNOG SATA: obrada nastavne jedinice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AKTIVNOSTI ZA UČENIKE: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razgovor, čitanje i pisanje, pretraživanje, pokazivanje, prezentiranje, slušanje</w:t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IZVORI ZA UČENIKE: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Online izvori unutar prezentacije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KLJUČNI POJMOVI:  </w:t>
      </w:r>
      <w:r>
        <w:rPr>
          <w:rFonts w:cs="Calibri" w:ascii="Calibri" w:hAnsi="Calibri" w:asciiTheme="minorHAnsi" w:cstheme="minorHAnsi" w:hAnsiTheme="minorHAnsi"/>
          <w:color w:val="000000"/>
        </w:rPr>
        <w:t>govor mržnje, internet, stereotipi, predrasude, etikete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ISHODI UČENJA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definirati i razumjeti pojam 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govora mržnje;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opisati i objasniti neprihvatljive oblike ponašanja i virtualnog nasilja: vrijeđanje i omalovažavanje, sramoćenje i govor mržnje;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promijeniti svoje ponašanje u virtualnom svijetu te  ispravno reagirati na svaki oblik govora mržnje, poštujući svoje i tuđe dostojanstvo.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koristiti prihvatljive i civilizirane načine komunikacije u stvarnom i virtualnom svijetu.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cstheme="minorHAnsi" w:ascii="Calibri" w:hAnsi="Calibri"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CILJ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NASTAVNE JEDINICE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shvaćanje pojma govora mržnje 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i prepoznavanje istoga u virtualnom svijetu</w:t>
      </w:r>
      <w:r>
        <w:rPr>
          <w:rFonts w:cs="Calibri" w:ascii="Calibri" w:hAnsi="Calibri" w:asciiTheme="minorHAnsi" w:cstheme="minorHAnsi" w:hAnsiTheme="minorHAnsi"/>
          <w:color w:val="000000"/>
        </w:rPr>
        <w:t>;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razviti sposobnost </w:t>
      </w:r>
      <w:r>
        <w:rPr>
          <w:rFonts w:cs="Calibri" w:ascii="Calibri" w:hAnsi="Calibri" w:asciiTheme="minorHAnsi" w:cstheme="minorHAnsi" w:hAnsiTheme="minorHAnsi"/>
          <w:color w:val="000000"/>
        </w:rPr>
        <w:t>razlikovanja stereotipa, predrasuda i etiketa i njihovog utjecaja na govor mržnje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informacijska pismenost primijenjena na životne situacije</w:t>
      </w:r>
    </w:p>
    <w:p>
      <w:pPr>
        <w:pStyle w:val="Normal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kritičko čitanje, provjera izvora, istraživanje, pretraživanje informacija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ZADACI: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OBRAZOVNI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: 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upoznati učenike s </w:t>
      </w:r>
      <w:r>
        <w:rPr>
          <w:rFonts w:cs="Calibri" w:ascii="Calibri" w:hAnsi="Calibri" w:asciiTheme="minorHAnsi" w:cstheme="minorHAnsi" w:hAnsiTheme="minorHAnsi"/>
          <w:color w:val="000000"/>
        </w:rPr>
        <w:t>pojmom  i razumijevanjem govora mržnje, stereotipa, etiketa i predrasuda;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o</w:t>
      </w:r>
      <w:r>
        <w:rPr>
          <w:rFonts w:cs="Calibri" w:ascii="Calibri" w:hAnsi="Calibri" w:asciiTheme="minorHAnsi" w:cstheme="minorHAnsi" w:hAnsiTheme="minorHAnsi"/>
          <w:color w:val="000000"/>
        </w:rPr>
        <w:t>svijestiti kod učenika prepoznavanje govora mržnje i reagiranja na isti;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objasniti nove oblike međuvršnjačkog virtualnog nasilja.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>
          <w:rFonts w:ascii="Calibri" w:hAnsi="Calibri" w:cs="Calibri" w:asciiTheme="minorHAnsi" w:cstheme="minorHAnsi" w:hAnsiTheme="minorHAnsi"/>
          <w:color w:val="000000"/>
        </w:rPr>
      </w:pPr>
      <w:r>
        <w:rPr/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FUNKCIONALNI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vještine snalaženja u okružju online informacija;  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u</w:t>
      </w:r>
      <w:r>
        <w:rPr>
          <w:rFonts w:cs="Calibri" w:ascii="Calibri" w:hAnsi="Calibri" w:asciiTheme="minorHAnsi" w:cstheme="minorHAnsi" w:hAnsiTheme="minorHAnsi"/>
          <w:color w:val="000000"/>
        </w:rPr>
        <w:t>kazati na potrebu prevencije te vrste verbalnoga nasilja i na nužnost promjene ponašanja;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poticati logičko mišljenje i zaključivanje.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ODGOJNI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: </w:t>
      </w:r>
    </w:p>
    <w:p>
      <w:pPr>
        <w:pStyle w:val="ListParagraph"/>
        <w:numPr>
          <w:ilvl w:val="0"/>
          <w:numId w:val="7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poticati učenike na pravilan odnos prema radu;  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poticanje na aktivnost, marljivost, komunikativnost, kolegijalnost i pravilan odnos prema svim sudionicima odgojno-obrazovnoga procesa. 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28"/>
          <w:szCs w:val="28"/>
        </w:rPr>
      </w:pPr>
      <w:r>
        <w:rPr>
          <w:rFonts w:ascii="Engravers MT" w:hAnsi="Engravers MT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TIJEK NASTAVNOG SATA</w:t>
      </w:r>
    </w:p>
    <w:p>
      <w:pPr>
        <w:pStyle w:val="Normal"/>
        <w:rPr>
          <w:rFonts w:ascii="Book Antiqua" w:hAnsi="Book Antiqua"/>
          <w:b/>
          <w:b/>
          <w:bCs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Doživljajno – spoznajna motivacija </w:t>
        <w:tab/>
        <w:tab/>
        <w:tab/>
        <w:tab/>
        <w:tab/>
        <w:t xml:space="preserve">         UVOD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Najava teme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Izlaganje novih sadržaja </w:t>
        <w:tab/>
        <w:tab/>
        <w:tab/>
        <w:tab/>
        <w:tab/>
        <w:tab/>
        <w:t xml:space="preserve">         GLAVNI DIO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Vježba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Izlaganje sadržaja 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Sinteza </w:t>
        <w:tab/>
        <w:tab/>
        <w:tab/>
        <w:tab/>
        <w:tab/>
        <w:tab/>
        <w:tab/>
        <w:tab/>
        <w:t xml:space="preserve">        ZAVRŠNI DIO</w:t>
      </w:r>
    </w:p>
    <w:p>
      <w:pPr>
        <w:pStyle w:val="ListParagraph"/>
        <w:ind w:hanging="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Verdana" w:hAnsi="Verdana"/>
          <w:bCs/>
          <w:color w:val="000000"/>
          <w:sz w:val="36"/>
          <w:szCs w:val="36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ARTIKULACIJA NASTAVNOG SATA</w:t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7"/>
        <w:gridCol w:w="6049"/>
        <w:gridCol w:w="1634"/>
      </w:tblGrid>
      <w:tr>
        <w:trPr/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TIJEK NASTAVNOG SATA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NASTAVNA SREDSTVA I POMAGALA</w:t>
            </w:r>
          </w:p>
        </w:tc>
      </w:tr>
      <w:tr>
        <w:trPr>
          <w:trHeight w:val="551" w:hRule="atLeast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Razgovor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Pisanje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gledanje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razgovor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cstheme="minorHAnsi"/>
              </w:rPr>
              <w:t>Razgovor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slušanje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 xml:space="preserve">     </w:t>
            </w:r>
            <w:r>
              <w:rPr>
                <w:rFonts w:cs="Calibri" w:cstheme="minorHAnsi" w:ascii="Calibri" w:hAnsi="Calibri"/>
              </w:rPr>
              <w:t>čitanje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pretraživanje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>razgovor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>slušanje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izlaganje</w:t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čitanje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Usmeno izlaganje uz demonstraciju i razgovo</w:t>
            </w:r>
            <w:r>
              <w:rPr>
                <w:rFonts w:cs="Calibri" w:ascii="Calibri" w:hAnsi="Calibri" w:asciiTheme="minorHAnsi" w:cstheme="minorHAnsi" w:hAnsiTheme="minorHAnsi"/>
              </w:rPr>
              <w:t>r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UVODNI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highlight w:val="yellow"/>
              </w:rPr>
            </w:pPr>
            <w:r>
              <w:rPr>
                <w:rFonts w:cs="Calibri" w:cstheme="minorHAnsi" w:ascii="Calibri" w:hAnsi="Calibri"/>
                <w:i/>
                <w:highlight w:val="yellow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 </w:t>
            </w:r>
            <w:r>
              <w:rPr>
                <w:rFonts w:cs="Calibri" w:ascii="Calibri" w:hAnsi="Calibri" w:asciiTheme="minorHAnsi" w:cstheme="minorHAnsi" w:hAnsiTheme="minorHAnsi"/>
              </w:rPr>
              <w:t>drugih razreda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dolaze u knjižnicu, smještaju se na svoja mjesta. Započinjemo s razgovorom o </w:t>
            </w:r>
            <w:r>
              <w:rPr>
                <w:rFonts w:cs="Calibri" w:ascii="Calibri" w:hAnsi="Calibri" w:asciiTheme="minorHAnsi" w:cstheme="minorHAnsi" w:hAnsiTheme="minorHAnsi"/>
              </w:rPr>
              <w:t>internetu i društvenim mrežama, koliko ih koriste, za što.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tablice </w:t>
            </w:r>
            <w:r>
              <w:rPr>
                <w:rFonts w:cs="Calibri" w:ascii="Calibri" w:hAnsi="Calibri" w:asciiTheme="minorHAnsi" w:cstheme="minorHAnsi" w:hAnsiTheme="minorHAnsi"/>
              </w:rPr>
              <w:t>upisuju svoju procjenu koliko vremena dnevno provode na internetu i društvenim mrežama (u satima).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NAJAVA TEME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Krećemo na Genial.ly prezentaciju i gledamo video I am NOT black, you are NOT white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Razgovaramo o videu i poruci koju nosi.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GLAVNI DIO SATA: OBRADA NOVIH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Razgovaramo o tome znaju li oni što je govor mržnje i kako ga definiramo, na koje se sve načine širi govor mržnje (etikete, predrasude, stereotipi) te dajemo primjere iz stvarnog života. Znaju li oni prepoznati govor mržnje, tko je poticatelj, a tko žrtva, mogu li dati neke stvarne primjere. Kako reagirati na javno objavljen govor mržnje i kome ga prijaviti ovisno o tome nalazi li se na društvenim mrežama, javnom prostoru, elektroničkim medijima ili tiskanim medijima. Razgovaramo o tome da je nužno reagirati na govor mržnje čak i kad nismo osobno njegova žrtva.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VJEŽBA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Učenici trebaju proći kroz nekoliko internetskih stranica i pokušati pronaći primjer govora mržnje.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 RADA UČENIKA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 </w:t>
            </w:r>
            <w:r>
              <w:rPr>
                <w:rFonts w:cs="Calibri" w:ascii="Calibri" w:hAnsi="Calibri" w:asciiTheme="minorHAnsi" w:cstheme="minorHAnsi" w:hAnsiTheme="minorHAnsi"/>
              </w:rPr>
              <w:t>objašnjavaju zašto su odabrali određene članke/sadržaj na internetu, po čemu oni predstavljaju govor mržnje i kome bi mogli to prijaviti.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ZAVRŠNI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SINTEZA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 xml:space="preserve">Učenici 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 xml:space="preserve">nakon pregleda aplikacija na mobitelu 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 xml:space="preserve">ispunjavaju 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drugi dio tablice (koliko zapravo vremena provode online) i uspoređuju koliko su realni bili s prvom procjenom.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tablica</w:t>
            </w:r>
          </w:p>
          <w:p>
            <w:pPr>
              <w:pStyle w:val="Normal"/>
              <w:jc w:val="center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video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cstheme="minorHAnsi"/>
              </w:rPr>
              <w:t>prezentacija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računala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mobiteli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 xml:space="preserve">portali 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>računala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mobiteli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>računala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>mobiteli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 xml:space="preserve"> </w:t>
            </w:r>
            <w:r>
              <w:rPr>
                <w:rFonts w:cs="Calibri" w:ascii="Calibri" w:hAnsi="Calibri" w:cstheme="minorHAnsi"/>
              </w:rPr>
              <w:t>tablica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</w:rPr>
              <w:t>mobitel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IZVORI KORIŠTENI ZA IZRADU PRIPRAVE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:</w:t>
      </w:r>
    </w:p>
    <w:p>
      <w:pPr>
        <w:pStyle w:val="Normal"/>
        <w:rPr>
          <w:rFonts w:ascii="Engravers MT" w:hAnsi="Engravers MT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Cindrić, Mijo; Miljković, Dubravka; Strugar, Vladimir. 2010.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Didaktika i kurikulum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IEP-D2. Zagreb.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Demut, Ana.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Putokazi školske knjižnice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2003. Školska knjiga. Zagreb.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Kovačević, Dinka; Lasić-Lazić, Jadranka; Lovrinčević, Jasmina.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Školska knjižnica –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  <w:lang w:val="sr-RS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korak dalje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2004. Filzofski fakultet, Zavod za informacijske studije </w:t>
      </w:r>
      <w:r>
        <w:rPr>
          <w:rFonts w:cs="Calibri" w:ascii="Calibri" w:hAnsi="Calibri" w:asciiTheme="minorHAnsi" w:cstheme="minorHAnsi" w:hAnsiTheme="minorHAnsi"/>
          <w:color w:val="000000"/>
          <w:szCs w:val="28"/>
          <w:lang w:val="sr-RS"/>
        </w:rPr>
        <w:t>О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djela za informacijske znanosti – Altagama.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hyperlink r:id="rId2">
        <w:r>
          <w:rPr>
            <w:rStyle w:val="Internetskapoveznica"/>
            <w:rFonts w:cs="Calibri" w:ascii="Calibri" w:hAnsi="Calibri" w:asciiTheme="minorHAnsi" w:cstheme="minorHAnsi" w:hAnsiTheme="minorHAnsi"/>
            <w:color w:val="000000"/>
            <w:szCs w:val="28"/>
          </w:rPr>
          <w:t>https://www.medijskapismenost.hr/wp-content/uploads/2019/04/Ljudsko-dostojanstvo-vrije%C4%91anje-sramoc%CC%81enje-i-govor-mrz%CC%8Cnje.pdf</w:t>
        </w:r>
      </w:hyperlink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Cs w:val="28"/>
        </w:rPr>
      </w:pPr>
      <w:r>
        <w:rPr>
          <w:rFonts w:cs="Calibri" w:cstheme="minorHAnsi" w:ascii="Calibri" w:hAnsi="Calibri"/>
          <w:i/>
          <w:color w:val="000000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PRILOZI: </w:t>
      </w:r>
    </w:p>
    <w:p>
      <w:pPr>
        <w:pStyle w:val="Normal"/>
        <w:rPr>
          <w:rFonts w:ascii="Engravers MT" w:hAnsi="Engravers MT"/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Genial.ly prezentacija Govor mržnje na internetu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T</w:t>
      </w:r>
      <w:r>
        <w:rPr>
          <w:rFonts w:cs="Calibri" w:ascii="Calibri" w:hAnsi="Calibri" w:asciiTheme="minorHAnsi" w:cstheme="minorHAnsi" w:hAnsiTheme="minorHAnsi"/>
          <w:szCs w:val="28"/>
        </w:rPr>
        <w:t>ablica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09" w:bottom="1559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Engravers M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3616648"/>
    </w:sdtPr>
    <w:sdtContent>
      <w:p>
        <w:pPr>
          <w:pStyle w:val="Podnoje"/>
          <w:jc w:val="right"/>
          <w:rPr/>
        </w:pPr>
        <w:r>
          <w:rPr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945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e945a4"/>
    <w:rPr>
      <w:color w:val="0000FF"/>
      <w:u w:val="singl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e945a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6c3cb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sz w:val="27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Times New Roman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sz w:val="27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libri" w:hAnsi="Calibri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45a4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rsid w:val="00e945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lear" w:pos="708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edijskapismenost.hr/wp-content/uploads/2019/04/Ljudsko-dostojanstvo-vrije&#273;anje-sramoc&#769;enje-i-govor-mrz&#780;nje.pdf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Application>LibreOffice/6.2.5.2$Windows_X86_64 LibreOffice_project/1ec314fa52f458adc18c4f025c545a4e8b22c159</Application>
  <Pages>9</Pages>
  <Words>703</Words>
  <Characters>4604</Characters>
  <CharactersWithSpaces>5323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2012-04-18T09:43:00Z</dcterms:created>
  <dc:creator>Korisnik</dc:creator>
  <dc:description/>
  <dc:language>hr-HR</dc:language>
  <cp:lastModifiedBy/>
  <dcterms:modified xsi:type="dcterms:W3CDTF">2020-06-25T13:27:24Z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